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3096"/>
        <w:gridCol w:w="3096"/>
        <w:gridCol w:w="3096"/>
      </w:tblGrid>
      <w:tr w:rsidR="00CB7BCB" w:rsidTr="00AF3928">
        <w:tc>
          <w:tcPr>
            <w:tcW w:w="3096" w:type="dxa"/>
            <w:tcBorders>
              <w:top w:val="nil"/>
              <w:left w:val="nil"/>
              <w:bottom w:val="nil"/>
              <w:right w:val="nil"/>
            </w:tcBorders>
          </w:tcPr>
          <w:p w:rsidR="00CB7BCB" w:rsidRDefault="00CB7BCB" w:rsidP="00F26007">
            <w:pPr>
              <w:spacing w:line="280" w:lineRule="atLeast"/>
              <w:rPr>
                <w:rFonts w:ascii="Verdana" w:eastAsia="Times New Roman" w:hAnsi="Verdana"/>
                <w:b/>
                <w:bCs/>
                <w:sz w:val="28"/>
                <w:szCs w:val="28"/>
              </w:rPr>
            </w:pPr>
            <w:r>
              <w:rPr>
                <w:rFonts w:ascii="Verdana" w:eastAsia="Times New Roman" w:hAnsi="Verdana"/>
                <w:b/>
                <w:bCs/>
                <w:noProof/>
                <w:sz w:val="28"/>
                <w:szCs w:val="28"/>
              </w:rPr>
              <w:drawing>
                <wp:inline distT="0" distB="0" distL="0" distR="0" wp14:anchorId="0F9992F4" wp14:editId="11A74547">
                  <wp:extent cx="1254958" cy="821937"/>
                  <wp:effectExtent l="0" t="0" r="2540" b="0"/>
                  <wp:docPr id="1" name="Afbeelding 1" descr="J:\wschrover\logo-stichting-pensioenbeh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schrover\logo-stichting-pensioenbehou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060" cy="823314"/>
                          </a:xfrm>
                          <a:prstGeom prst="rect">
                            <a:avLst/>
                          </a:prstGeom>
                          <a:noFill/>
                          <a:ln>
                            <a:noFill/>
                          </a:ln>
                        </pic:spPr>
                      </pic:pic>
                    </a:graphicData>
                  </a:graphic>
                </wp:inline>
              </w:drawing>
            </w:r>
          </w:p>
        </w:tc>
        <w:tc>
          <w:tcPr>
            <w:tcW w:w="3096" w:type="dxa"/>
            <w:tcBorders>
              <w:top w:val="nil"/>
              <w:left w:val="nil"/>
              <w:bottom w:val="nil"/>
              <w:right w:val="nil"/>
            </w:tcBorders>
          </w:tcPr>
          <w:p w:rsidR="00CB7BCB" w:rsidRDefault="00CB7BCB" w:rsidP="00F26007">
            <w:pPr>
              <w:spacing w:line="280" w:lineRule="atLeast"/>
              <w:rPr>
                <w:rFonts w:ascii="Verdana" w:eastAsia="Times New Roman" w:hAnsi="Verdana"/>
                <w:b/>
                <w:bCs/>
                <w:sz w:val="28"/>
                <w:szCs w:val="28"/>
              </w:rPr>
            </w:pPr>
          </w:p>
        </w:tc>
        <w:tc>
          <w:tcPr>
            <w:tcW w:w="3096" w:type="dxa"/>
            <w:tcBorders>
              <w:top w:val="nil"/>
              <w:left w:val="nil"/>
              <w:bottom w:val="nil"/>
              <w:right w:val="nil"/>
            </w:tcBorders>
          </w:tcPr>
          <w:p w:rsidR="00CB7BCB" w:rsidRDefault="00E23E9D" w:rsidP="00F26007">
            <w:pPr>
              <w:spacing w:line="280" w:lineRule="atLeast"/>
              <w:rPr>
                <w:rFonts w:ascii="Verdana" w:eastAsia="Times New Roman" w:hAnsi="Verdana"/>
                <w:b/>
                <w:bCs/>
                <w:sz w:val="28"/>
                <w:szCs w:val="28"/>
              </w:rPr>
            </w:pPr>
            <w:r>
              <w:rPr>
                <w:noProof/>
              </w:rPr>
              <w:drawing>
                <wp:inline distT="0" distB="0" distL="0" distR="0" wp14:anchorId="5BDB297B" wp14:editId="01D34A4D">
                  <wp:extent cx="1554480" cy="811581"/>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O logo 2kl 11-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048" cy="811355"/>
                          </a:xfrm>
                          <a:prstGeom prst="rect">
                            <a:avLst/>
                          </a:prstGeom>
                        </pic:spPr>
                      </pic:pic>
                    </a:graphicData>
                  </a:graphic>
                </wp:inline>
              </w:drawing>
            </w:r>
          </w:p>
        </w:tc>
      </w:tr>
    </w:tbl>
    <w:p w:rsidR="00CB7BCB" w:rsidRPr="000C0B47" w:rsidRDefault="00CB7BCB" w:rsidP="00F26007">
      <w:pPr>
        <w:spacing w:line="280" w:lineRule="atLeast"/>
        <w:rPr>
          <w:rFonts w:ascii="Verdana" w:eastAsia="Times New Roman" w:hAnsi="Verdana"/>
          <w:b/>
          <w:bCs/>
          <w:sz w:val="20"/>
          <w:szCs w:val="20"/>
        </w:rPr>
      </w:pPr>
    </w:p>
    <w:p w:rsidR="00AF3928" w:rsidRPr="000C0B47" w:rsidRDefault="00AF3928" w:rsidP="00F26007">
      <w:pPr>
        <w:spacing w:line="280" w:lineRule="atLeast"/>
        <w:rPr>
          <w:rFonts w:ascii="Verdana" w:eastAsia="Times New Roman" w:hAnsi="Verdana"/>
          <w:b/>
          <w:bCs/>
          <w:sz w:val="20"/>
          <w:szCs w:val="20"/>
        </w:rPr>
      </w:pPr>
    </w:p>
    <w:p w:rsidR="00AF3928" w:rsidRPr="00AF3928" w:rsidRDefault="00AF3928" w:rsidP="000C0B47">
      <w:pPr>
        <w:spacing w:line="260" w:lineRule="atLeast"/>
        <w:rPr>
          <w:rFonts w:ascii="Verdana" w:eastAsia="Times New Roman" w:hAnsi="Verdana"/>
          <w:b/>
          <w:bCs/>
        </w:rPr>
      </w:pPr>
      <w:r w:rsidRPr="00AF3928">
        <w:rPr>
          <w:rFonts w:ascii="Verdana" w:eastAsia="Times New Roman" w:hAnsi="Verdana"/>
          <w:b/>
          <w:bCs/>
        </w:rPr>
        <w:t>Stichting Pensioenbehoud</w:t>
      </w:r>
      <w:r w:rsidR="00E23E9D">
        <w:rPr>
          <w:rFonts w:ascii="Verdana" w:eastAsia="Times New Roman" w:hAnsi="Verdana"/>
          <w:b/>
          <w:bCs/>
        </w:rPr>
        <w:t xml:space="preserve"> en</w:t>
      </w:r>
      <w:r w:rsidRPr="00AF3928">
        <w:rPr>
          <w:rFonts w:ascii="Verdana" w:eastAsia="Times New Roman" w:hAnsi="Verdana"/>
          <w:b/>
          <w:bCs/>
        </w:rPr>
        <w:t xml:space="preserve"> KBO-Brabant gaan juridische strijd aan met Nederlandse Staat over pensioenwet</w:t>
      </w:r>
      <w:r>
        <w:rPr>
          <w:rFonts w:ascii="Verdana" w:eastAsia="Times New Roman" w:hAnsi="Verdana"/>
          <w:b/>
          <w:bCs/>
        </w:rPr>
        <w:t>geving</w:t>
      </w:r>
    </w:p>
    <w:p w:rsidR="00AF3928" w:rsidRDefault="00F26007" w:rsidP="000C0B47">
      <w:pPr>
        <w:spacing w:line="260" w:lineRule="atLeast"/>
        <w:rPr>
          <w:rFonts w:ascii="Verdana" w:eastAsia="Times New Roman" w:hAnsi="Verdana"/>
          <w:sz w:val="20"/>
          <w:szCs w:val="20"/>
        </w:rPr>
      </w:pPr>
      <w:r w:rsidRPr="00F26007">
        <w:rPr>
          <w:rFonts w:ascii="Verdana" w:eastAsia="Times New Roman" w:hAnsi="Verdana"/>
          <w:sz w:val="20"/>
          <w:szCs w:val="20"/>
        </w:rPr>
        <w:t> </w:t>
      </w:r>
    </w:p>
    <w:p w:rsidR="000C0B47" w:rsidRPr="00F26007" w:rsidRDefault="000C0B47" w:rsidP="000C0B47">
      <w:pPr>
        <w:spacing w:line="260" w:lineRule="atLeast"/>
        <w:rPr>
          <w:rFonts w:ascii="Verdana" w:eastAsia="Times New Roman" w:hAnsi="Verdana"/>
          <w:sz w:val="20"/>
          <w:szCs w:val="20"/>
        </w:rPr>
      </w:pPr>
    </w:p>
    <w:p w:rsidR="00F26007" w:rsidRPr="00F26007" w:rsidRDefault="00F26007" w:rsidP="000C0B47">
      <w:pPr>
        <w:spacing w:line="260" w:lineRule="atLeast"/>
        <w:rPr>
          <w:rFonts w:ascii="Verdana" w:eastAsia="Times New Roman" w:hAnsi="Verdana"/>
          <w:b/>
          <w:sz w:val="20"/>
          <w:szCs w:val="20"/>
        </w:rPr>
      </w:pPr>
      <w:r w:rsidRPr="00F26007">
        <w:rPr>
          <w:rFonts w:ascii="Verdana" w:eastAsia="Times New Roman" w:hAnsi="Verdana"/>
          <w:b/>
          <w:sz w:val="20"/>
          <w:szCs w:val="20"/>
        </w:rPr>
        <w:t xml:space="preserve">Stichting Pensioenbehoud, seniorenvereniging KBO-Brabant </w:t>
      </w:r>
      <w:r w:rsidR="005F20B9">
        <w:rPr>
          <w:rFonts w:ascii="Verdana" w:eastAsia="Times New Roman" w:hAnsi="Verdana"/>
          <w:b/>
          <w:sz w:val="20"/>
          <w:szCs w:val="20"/>
        </w:rPr>
        <w:t xml:space="preserve">en </w:t>
      </w:r>
      <w:r w:rsidR="00E23E9D">
        <w:rPr>
          <w:rFonts w:ascii="Verdana" w:eastAsia="Times New Roman" w:hAnsi="Verdana"/>
          <w:b/>
          <w:sz w:val="20"/>
          <w:szCs w:val="20"/>
        </w:rPr>
        <w:t>een derde partij</w:t>
      </w:r>
      <w:r w:rsidR="005F20B9">
        <w:rPr>
          <w:rFonts w:ascii="Verdana" w:eastAsia="Times New Roman" w:hAnsi="Verdana"/>
          <w:b/>
          <w:sz w:val="20"/>
          <w:szCs w:val="20"/>
        </w:rPr>
        <w:t xml:space="preserve"> </w:t>
      </w:r>
      <w:r w:rsidR="00AF3928">
        <w:rPr>
          <w:rFonts w:ascii="Verdana" w:eastAsia="Times New Roman" w:hAnsi="Verdana"/>
          <w:b/>
          <w:sz w:val="20"/>
          <w:szCs w:val="20"/>
        </w:rPr>
        <w:t>zijn voornemens ee</w:t>
      </w:r>
      <w:r w:rsidRPr="00F26007">
        <w:rPr>
          <w:rFonts w:ascii="Verdana" w:eastAsia="Times New Roman" w:hAnsi="Verdana"/>
          <w:b/>
          <w:sz w:val="20"/>
          <w:szCs w:val="20"/>
        </w:rPr>
        <w:t xml:space="preserve">n </w:t>
      </w:r>
      <w:r w:rsidR="00AF3928">
        <w:rPr>
          <w:rFonts w:ascii="Verdana" w:eastAsia="Times New Roman" w:hAnsi="Verdana"/>
          <w:b/>
          <w:sz w:val="20"/>
          <w:szCs w:val="20"/>
        </w:rPr>
        <w:t>bodemprocedure</w:t>
      </w:r>
      <w:r w:rsidRPr="00F26007">
        <w:rPr>
          <w:rFonts w:ascii="Verdana" w:eastAsia="Times New Roman" w:hAnsi="Verdana"/>
          <w:b/>
          <w:sz w:val="20"/>
          <w:szCs w:val="20"/>
        </w:rPr>
        <w:t xml:space="preserve"> tegen de Nederlandse Staat </w:t>
      </w:r>
      <w:r w:rsidR="00AF3928">
        <w:rPr>
          <w:rFonts w:ascii="Verdana" w:eastAsia="Times New Roman" w:hAnsi="Verdana"/>
          <w:b/>
          <w:sz w:val="20"/>
          <w:szCs w:val="20"/>
        </w:rPr>
        <w:t>te beginnen</w:t>
      </w:r>
      <w:r w:rsidRPr="00F26007">
        <w:rPr>
          <w:rFonts w:ascii="Verdana" w:eastAsia="Times New Roman" w:hAnsi="Verdana"/>
          <w:b/>
          <w:sz w:val="20"/>
          <w:szCs w:val="20"/>
        </w:rPr>
        <w:t>. De dagvaarding zal naar verwachting in september worden ingediend. De drie organisaties zijn van oordeel dat de Nederlandse pensioenwetgeving in strijd is m</w:t>
      </w:r>
      <w:r>
        <w:rPr>
          <w:rFonts w:ascii="Verdana" w:eastAsia="Times New Roman" w:hAnsi="Verdana"/>
          <w:b/>
          <w:sz w:val="20"/>
          <w:szCs w:val="20"/>
        </w:rPr>
        <w:t xml:space="preserve">et </w:t>
      </w:r>
      <w:r w:rsidR="00053DCD">
        <w:rPr>
          <w:rFonts w:ascii="Verdana" w:eastAsia="Times New Roman" w:hAnsi="Verdana"/>
          <w:b/>
          <w:sz w:val="20"/>
          <w:szCs w:val="20"/>
        </w:rPr>
        <w:t xml:space="preserve">een </w:t>
      </w:r>
      <w:r>
        <w:rPr>
          <w:rFonts w:ascii="Verdana" w:eastAsia="Times New Roman" w:hAnsi="Verdana"/>
          <w:b/>
          <w:sz w:val="20"/>
          <w:szCs w:val="20"/>
        </w:rPr>
        <w:t>Europese richtlijn, met als gevolg dreigende pensioenkorting voor acht miljoen mensen en geen zicht op indexering.</w:t>
      </w:r>
      <w:r w:rsidR="005F20B9">
        <w:rPr>
          <w:rFonts w:ascii="Verdana" w:eastAsia="Times New Roman" w:hAnsi="Verdana"/>
          <w:b/>
          <w:sz w:val="20"/>
          <w:szCs w:val="20"/>
        </w:rPr>
        <w:t xml:space="preserve"> </w:t>
      </w:r>
    </w:p>
    <w:p w:rsidR="00F26007" w:rsidRDefault="00F26007" w:rsidP="000C0B47">
      <w:pPr>
        <w:spacing w:line="260" w:lineRule="atLeast"/>
        <w:rPr>
          <w:rFonts w:ascii="Verdana" w:eastAsia="Times New Roman" w:hAnsi="Verdana"/>
          <w:sz w:val="20"/>
          <w:szCs w:val="20"/>
        </w:rPr>
      </w:pPr>
    </w:p>
    <w:p w:rsidR="0062003B" w:rsidRPr="00F26007" w:rsidRDefault="0062003B" w:rsidP="000C0B47">
      <w:pPr>
        <w:spacing w:line="260" w:lineRule="atLeast"/>
        <w:rPr>
          <w:rFonts w:ascii="Verdana" w:eastAsia="Times New Roman" w:hAnsi="Verdana"/>
          <w:sz w:val="20"/>
          <w:szCs w:val="20"/>
        </w:rPr>
      </w:pPr>
    </w:p>
    <w:p w:rsidR="0062003B" w:rsidRDefault="0062003B" w:rsidP="000C0B47">
      <w:pPr>
        <w:spacing w:line="260" w:lineRule="atLeast"/>
        <w:rPr>
          <w:rFonts w:ascii="Verdana" w:eastAsia="Times New Roman" w:hAnsi="Verdana"/>
          <w:b/>
          <w:sz w:val="20"/>
          <w:szCs w:val="20"/>
        </w:rPr>
      </w:pPr>
      <w:r>
        <w:rPr>
          <w:rFonts w:ascii="Verdana" w:eastAsia="Times New Roman" w:hAnsi="Verdana"/>
          <w:b/>
          <w:sz w:val="20"/>
          <w:szCs w:val="20"/>
        </w:rPr>
        <w:t>Pensioenfondsen moeten zich arm rekenen</w:t>
      </w:r>
    </w:p>
    <w:p w:rsidR="00F26007" w:rsidRDefault="00F26007" w:rsidP="000C0B47">
      <w:pPr>
        <w:spacing w:line="260" w:lineRule="atLeast"/>
        <w:rPr>
          <w:rFonts w:ascii="Verdana" w:eastAsia="Times New Roman" w:hAnsi="Verdana"/>
          <w:sz w:val="20"/>
          <w:szCs w:val="20"/>
        </w:rPr>
      </w:pPr>
      <w:r w:rsidRPr="00F26007">
        <w:rPr>
          <w:rFonts w:ascii="Verdana" w:eastAsia="Times New Roman" w:hAnsi="Verdana"/>
          <w:sz w:val="20"/>
          <w:szCs w:val="20"/>
        </w:rPr>
        <w:t xml:space="preserve">Pensioenfondsen boeken mooie rendementen, maar dreigen desondanks de pensioenen van acht miljoen mensen te moeten verlagen. </w:t>
      </w:r>
      <w:r w:rsidR="00AF3928">
        <w:rPr>
          <w:rFonts w:ascii="Verdana" w:eastAsia="Times New Roman" w:hAnsi="Verdana"/>
          <w:sz w:val="20"/>
          <w:szCs w:val="20"/>
        </w:rPr>
        <w:t>Die</w:t>
      </w:r>
      <w:r w:rsidR="00AF3928" w:rsidRPr="00F26007">
        <w:rPr>
          <w:rFonts w:ascii="Verdana" w:eastAsia="Times New Roman" w:hAnsi="Verdana"/>
          <w:sz w:val="20"/>
          <w:szCs w:val="20"/>
        </w:rPr>
        <w:t xml:space="preserve"> directe korting komt bovenop de sluipende geldontwaarding van pensioenen die al sinds 2008 gaande is doordat pensioenen niet geïndexeerd mogen worden terwijl de kosten voor levensonderhoud wel stijgen. </w:t>
      </w:r>
      <w:r w:rsidRPr="00F26007">
        <w:rPr>
          <w:rFonts w:ascii="Verdana" w:eastAsia="Times New Roman" w:hAnsi="Verdana"/>
          <w:sz w:val="20"/>
          <w:szCs w:val="20"/>
        </w:rPr>
        <w:t>Eerst was er de langdurige financieel-economische crisis die indexeren in de weg stond. Vervolgens ging de Europese Centrale Bank (ECB) vanaf 2014 op grote schaal geld uit het niets creëren, waardoor de rente extreem daalde. Het is díe rente waarmee onze pensioenfondsen zich arm moeten rekenen, want niet hun werkelijk behaalde rendement telt, maar het van de rente afgeleide normrendement, zo is vastgelegd in onze pensioenwetgeving. Pensioenfondsen moeten doen alsof ze niet gemiddeld meer dan 5% rendement over de lange termijn behalen doordat ze beleggen in aandelen, onroerend goed en leningen aan bedrijven en overheden, maar slechts laag renderende leningen aan overheden verstrekken. Dit schetst onterecht een buitengewoon pessimistisch beeld van onze pensioenfondsen.</w:t>
      </w:r>
    </w:p>
    <w:p w:rsidR="00F26007" w:rsidRDefault="00F26007" w:rsidP="000C0B47">
      <w:pPr>
        <w:spacing w:line="260" w:lineRule="atLeast"/>
        <w:rPr>
          <w:rFonts w:ascii="Verdana" w:eastAsia="Times New Roman" w:hAnsi="Verdana"/>
          <w:sz w:val="20"/>
          <w:szCs w:val="20"/>
        </w:rPr>
      </w:pPr>
    </w:p>
    <w:p w:rsidR="0062003B" w:rsidRDefault="0062003B" w:rsidP="000C0B47">
      <w:pPr>
        <w:spacing w:line="260" w:lineRule="atLeast"/>
        <w:rPr>
          <w:rFonts w:ascii="Verdana" w:eastAsia="Times New Roman" w:hAnsi="Verdana"/>
          <w:b/>
          <w:sz w:val="20"/>
          <w:szCs w:val="20"/>
        </w:rPr>
      </w:pPr>
      <w:r>
        <w:rPr>
          <w:rFonts w:ascii="Verdana" w:eastAsia="Times New Roman" w:hAnsi="Verdana"/>
          <w:b/>
          <w:sz w:val="20"/>
          <w:szCs w:val="20"/>
        </w:rPr>
        <w:t>Rekenregels zijn van Haagse makelij</w:t>
      </w:r>
    </w:p>
    <w:p w:rsidR="0062003B" w:rsidRDefault="00F26007" w:rsidP="000C0B47">
      <w:pPr>
        <w:spacing w:line="260" w:lineRule="atLeast"/>
        <w:rPr>
          <w:rFonts w:ascii="Verdana" w:eastAsia="Times New Roman" w:hAnsi="Verdana"/>
          <w:sz w:val="20"/>
          <w:szCs w:val="20"/>
        </w:rPr>
      </w:pPr>
      <w:r w:rsidRPr="00F26007">
        <w:rPr>
          <w:rFonts w:ascii="Verdana" w:eastAsia="Times New Roman" w:hAnsi="Verdana"/>
          <w:sz w:val="20"/>
          <w:szCs w:val="20"/>
        </w:rPr>
        <w:t xml:space="preserve">Onze regering wijst de ECB als schuldige aan, maar gaat gemakshalve voorbij aan haar eigen </w:t>
      </w:r>
      <w:r>
        <w:rPr>
          <w:rFonts w:ascii="Verdana" w:eastAsia="Times New Roman" w:hAnsi="Verdana"/>
          <w:sz w:val="20"/>
          <w:szCs w:val="20"/>
        </w:rPr>
        <w:t xml:space="preserve">majeure </w:t>
      </w:r>
      <w:r w:rsidRPr="00F26007">
        <w:rPr>
          <w:rFonts w:ascii="Verdana" w:eastAsia="Times New Roman" w:hAnsi="Verdana"/>
          <w:sz w:val="20"/>
          <w:szCs w:val="20"/>
        </w:rPr>
        <w:t xml:space="preserve">rol in de pensioenmalaise. Hoewel de Nederlandse pensioenfondsen veruit het grootste pensioenvermogen in de Eurozone beheren en álle landen in de Eurozone met hetzelfde ECB-beleid te maken hebben, heeft alléén Nederland in zijn wetgeving </w:t>
      </w:r>
      <w:r>
        <w:rPr>
          <w:rFonts w:ascii="Verdana" w:eastAsia="Times New Roman" w:hAnsi="Verdana"/>
          <w:sz w:val="20"/>
          <w:szCs w:val="20"/>
        </w:rPr>
        <w:t xml:space="preserve">voor pensioenfondsen </w:t>
      </w:r>
      <w:r w:rsidRPr="00F26007">
        <w:rPr>
          <w:rFonts w:ascii="Verdana" w:eastAsia="Times New Roman" w:hAnsi="Verdana"/>
          <w:sz w:val="20"/>
          <w:szCs w:val="20"/>
        </w:rPr>
        <w:t>gekozen voor een rekenrente die het aanvullend pensioen van werknemers en gepensioneerden</w:t>
      </w:r>
      <w:r w:rsidR="00053DCD">
        <w:rPr>
          <w:rFonts w:ascii="Verdana" w:eastAsia="Times New Roman" w:hAnsi="Verdana"/>
          <w:sz w:val="20"/>
          <w:szCs w:val="20"/>
        </w:rPr>
        <w:t xml:space="preserve"> – z</w:t>
      </w:r>
      <w:r w:rsidRPr="00F26007">
        <w:rPr>
          <w:rFonts w:ascii="Verdana" w:eastAsia="Times New Roman" w:hAnsi="Verdana"/>
          <w:sz w:val="20"/>
          <w:szCs w:val="20"/>
        </w:rPr>
        <w:t>ijnde de crediteuren van pensioenfondsen</w:t>
      </w:r>
      <w:r w:rsidR="00053DCD">
        <w:rPr>
          <w:rFonts w:ascii="Verdana" w:eastAsia="Times New Roman" w:hAnsi="Verdana"/>
          <w:sz w:val="20"/>
          <w:szCs w:val="20"/>
        </w:rPr>
        <w:t xml:space="preserve"> – </w:t>
      </w:r>
      <w:r w:rsidRPr="00F26007">
        <w:rPr>
          <w:rFonts w:ascii="Verdana" w:eastAsia="Times New Roman" w:hAnsi="Verdana"/>
          <w:sz w:val="20"/>
          <w:szCs w:val="20"/>
        </w:rPr>
        <w:t>doet verdampen. Gepensioneerden voelen dat al tien jaar lang in hun portemonnee; werknemers komen na hun pensionering van een koude kermis thuis. In alle andere landen van de Eurozone worden pensioenen gewoon geïndexeerd. Deze ondermijning van ons unieke pensioenstelsel en van de pensioenvoorziening van degenen die daarvoor werken en gewerkt hebben, moet ee</w:t>
      </w:r>
      <w:r w:rsidR="0062003B">
        <w:rPr>
          <w:rFonts w:ascii="Verdana" w:eastAsia="Times New Roman" w:hAnsi="Verdana"/>
          <w:sz w:val="20"/>
          <w:szCs w:val="20"/>
        </w:rPr>
        <w:t>n halt worden toegeroepen.</w:t>
      </w:r>
    </w:p>
    <w:p w:rsidR="0062003B" w:rsidRDefault="0062003B" w:rsidP="000C0B47">
      <w:pPr>
        <w:spacing w:line="260" w:lineRule="atLeast"/>
        <w:rPr>
          <w:rFonts w:ascii="Verdana" w:eastAsia="Times New Roman" w:hAnsi="Verdana"/>
          <w:b/>
          <w:sz w:val="20"/>
          <w:szCs w:val="20"/>
        </w:rPr>
      </w:pPr>
    </w:p>
    <w:p w:rsidR="0062003B" w:rsidRDefault="0062003B" w:rsidP="000C0B47">
      <w:pPr>
        <w:spacing w:line="260" w:lineRule="atLeast"/>
        <w:rPr>
          <w:rFonts w:ascii="Verdana" w:eastAsia="Times New Roman" w:hAnsi="Verdana"/>
          <w:b/>
          <w:sz w:val="20"/>
          <w:szCs w:val="20"/>
        </w:rPr>
      </w:pPr>
      <w:r>
        <w:rPr>
          <w:rFonts w:ascii="Verdana" w:eastAsia="Times New Roman" w:hAnsi="Verdana"/>
          <w:b/>
          <w:sz w:val="20"/>
          <w:szCs w:val="20"/>
        </w:rPr>
        <w:t xml:space="preserve">Pensioenakkoord </w:t>
      </w:r>
      <w:r w:rsidR="000C0B47">
        <w:rPr>
          <w:rFonts w:ascii="Verdana" w:eastAsia="Times New Roman" w:hAnsi="Verdana"/>
          <w:b/>
          <w:sz w:val="20"/>
          <w:szCs w:val="20"/>
        </w:rPr>
        <w:t xml:space="preserve">lost </w:t>
      </w:r>
      <w:r>
        <w:rPr>
          <w:rFonts w:ascii="Verdana" w:eastAsia="Times New Roman" w:hAnsi="Verdana"/>
          <w:b/>
          <w:sz w:val="20"/>
          <w:szCs w:val="20"/>
        </w:rPr>
        <w:t>pensioenprobleem niet op</w:t>
      </w:r>
    </w:p>
    <w:p w:rsidR="00F26007" w:rsidRPr="00F26007" w:rsidRDefault="00F26007" w:rsidP="000C0B47">
      <w:pPr>
        <w:spacing w:line="260" w:lineRule="atLeast"/>
        <w:rPr>
          <w:rFonts w:ascii="Verdana" w:eastAsia="Times New Roman" w:hAnsi="Verdana"/>
          <w:sz w:val="20"/>
          <w:szCs w:val="20"/>
        </w:rPr>
      </w:pPr>
      <w:r w:rsidRPr="00F26007">
        <w:rPr>
          <w:rFonts w:ascii="Verdana" w:eastAsia="Times New Roman" w:hAnsi="Verdana"/>
          <w:sz w:val="20"/>
          <w:szCs w:val="20"/>
        </w:rPr>
        <w:t xml:space="preserve">Sociale partners hebben </w:t>
      </w:r>
      <w:r w:rsidR="000C0B47">
        <w:rPr>
          <w:rFonts w:ascii="Verdana" w:eastAsia="Times New Roman" w:hAnsi="Verdana"/>
          <w:sz w:val="20"/>
          <w:szCs w:val="20"/>
        </w:rPr>
        <w:t xml:space="preserve">over </w:t>
      </w:r>
      <w:r w:rsidRPr="00F26007">
        <w:rPr>
          <w:rFonts w:ascii="Verdana" w:eastAsia="Times New Roman" w:hAnsi="Verdana"/>
          <w:sz w:val="20"/>
          <w:szCs w:val="20"/>
        </w:rPr>
        <w:t>d</w:t>
      </w:r>
      <w:r w:rsidR="000C0B47">
        <w:rPr>
          <w:rFonts w:ascii="Verdana" w:eastAsia="Times New Roman" w:hAnsi="Verdana"/>
          <w:sz w:val="20"/>
          <w:szCs w:val="20"/>
        </w:rPr>
        <w:t xml:space="preserve">e zo urgente aanpassing van de rekenrente </w:t>
      </w:r>
      <w:r w:rsidRPr="00F26007">
        <w:rPr>
          <w:rFonts w:ascii="Verdana" w:eastAsia="Times New Roman" w:hAnsi="Verdana"/>
          <w:sz w:val="20"/>
          <w:szCs w:val="20"/>
        </w:rPr>
        <w:t>helaas niet</w:t>
      </w:r>
      <w:r w:rsidR="000C0B47">
        <w:rPr>
          <w:rFonts w:ascii="Verdana" w:eastAsia="Times New Roman" w:hAnsi="Verdana"/>
          <w:sz w:val="20"/>
          <w:szCs w:val="20"/>
        </w:rPr>
        <w:t>s</w:t>
      </w:r>
      <w:r w:rsidRPr="00F26007">
        <w:rPr>
          <w:rFonts w:ascii="Verdana" w:eastAsia="Times New Roman" w:hAnsi="Verdana"/>
          <w:sz w:val="20"/>
          <w:szCs w:val="20"/>
        </w:rPr>
        <w:t xml:space="preserve"> </w:t>
      </w:r>
      <w:r w:rsidR="000C0B47">
        <w:rPr>
          <w:rFonts w:ascii="Verdana" w:eastAsia="Times New Roman" w:hAnsi="Verdana"/>
          <w:sz w:val="20"/>
          <w:szCs w:val="20"/>
        </w:rPr>
        <w:t xml:space="preserve">afgesproken </w:t>
      </w:r>
      <w:r w:rsidRPr="00F26007">
        <w:rPr>
          <w:rFonts w:ascii="Verdana" w:eastAsia="Times New Roman" w:hAnsi="Verdana"/>
          <w:sz w:val="20"/>
          <w:szCs w:val="20"/>
        </w:rPr>
        <w:t xml:space="preserve">in hun onderhandelingen met minister Koolmees over een Pensioenakkoord. Van alle vier vooraf </w:t>
      </w:r>
      <w:r>
        <w:rPr>
          <w:rFonts w:ascii="Verdana" w:eastAsia="Times New Roman" w:hAnsi="Verdana"/>
          <w:sz w:val="20"/>
          <w:szCs w:val="20"/>
        </w:rPr>
        <w:t xml:space="preserve">door de vakbonden </w:t>
      </w:r>
      <w:r w:rsidRPr="00F26007">
        <w:rPr>
          <w:rFonts w:ascii="Verdana" w:eastAsia="Times New Roman" w:hAnsi="Verdana"/>
          <w:sz w:val="20"/>
          <w:szCs w:val="20"/>
        </w:rPr>
        <w:t xml:space="preserve">gestelde eisen is </w:t>
      </w:r>
      <w:r w:rsidRPr="00F26007">
        <w:rPr>
          <w:rFonts w:ascii="Verdana" w:eastAsia="Times New Roman" w:hAnsi="Verdana"/>
          <w:i/>
          <w:iCs/>
          <w:sz w:val="20"/>
          <w:szCs w:val="20"/>
        </w:rPr>
        <w:t>aanpassing van de rekenrente</w:t>
      </w:r>
      <w:r w:rsidRPr="00F26007">
        <w:rPr>
          <w:rFonts w:ascii="Verdana" w:eastAsia="Times New Roman" w:hAnsi="Verdana"/>
          <w:sz w:val="20"/>
          <w:szCs w:val="20"/>
        </w:rPr>
        <w:t xml:space="preserve"> ergens in het proces verweesd geraakt. In plaats daarvan kwam het advies van de Commissie Parameters onder leiding van </w:t>
      </w:r>
      <w:r>
        <w:rPr>
          <w:rFonts w:ascii="Verdana" w:eastAsia="Times New Roman" w:hAnsi="Verdana"/>
          <w:sz w:val="20"/>
          <w:szCs w:val="20"/>
        </w:rPr>
        <w:t xml:space="preserve">oud </w:t>
      </w:r>
      <w:r w:rsidRPr="00F26007">
        <w:rPr>
          <w:rFonts w:ascii="Verdana" w:eastAsia="Times New Roman" w:hAnsi="Verdana"/>
          <w:sz w:val="20"/>
          <w:szCs w:val="20"/>
        </w:rPr>
        <w:t>PvdA-</w:t>
      </w:r>
      <w:r>
        <w:rPr>
          <w:rFonts w:ascii="Verdana" w:eastAsia="Times New Roman" w:hAnsi="Verdana"/>
          <w:sz w:val="20"/>
          <w:szCs w:val="20"/>
        </w:rPr>
        <w:t>minister</w:t>
      </w:r>
      <w:r w:rsidRPr="00F26007">
        <w:rPr>
          <w:rFonts w:ascii="Verdana" w:eastAsia="Times New Roman" w:hAnsi="Verdana"/>
          <w:sz w:val="20"/>
          <w:szCs w:val="20"/>
        </w:rPr>
        <w:t xml:space="preserve"> Dijsselbloem om de </w:t>
      </w:r>
      <w:r w:rsidRPr="00F26007">
        <w:rPr>
          <w:rFonts w:ascii="Verdana" w:eastAsia="Times New Roman" w:hAnsi="Verdana"/>
          <w:sz w:val="20"/>
          <w:szCs w:val="20"/>
        </w:rPr>
        <w:lastRenderedPageBreak/>
        <w:t>rekenrente voor pensioenfondsen nog verder te verlagen in plaats van te verhogen, waard</w:t>
      </w:r>
      <w:r w:rsidR="00C27AE3">
        <w:rPr>
          <w:rFonts w:ascii="Verdana" w:eastAsia="Times New Roman" w:hAnsi="Verdana"/>
          <w:sz w:val="20"/>
          <w:szCs w:val="20"/>
        </w:rPr>
        <w:t>oor de werkelijke rendementen nog hoger en de reserves no</w:t>
      </w:r>
      <w:r w:rsidRPr="00F26007">
        <w:rPr>
          <w:rFonts w:ascii="Verdana" w:eastAsia="Times New Roman" w:hAnsi="Verdana"/>
          <w:sz w:val="20"/>
          <w:szCs w:val="20"/>
        </w:rPr>
        <w:t xml:space="preserve">g groter moeten worden, kortingen versneld gaan plaatsvinden en indexering een utopie is geworden. Zelfs nu de schijnzekerheid van een gegarandeerd pensioen is losgelaten in het Pensioenakkoord </w:t>
      </w:r>
      <w:r w:rsidR="00C27AE3">
        <w:rPr>
          <w:rFonts w:ascii="Verdana" w:eastAsia="Times New Roman" w:hAnsi="Verdana"/>
          <w:sz w:val="20"/>
          <w:szCs w:val="20"/>
        </w:rPr>
        <w:t xml:space="preserve">moet de reeds extreem lage </w:t>
      </w:r>
      <w:r w:rsidRPr="00F26007">
        <w:rPr>
          <w:rFonts w:ascii="Verdana" w:eastAsia="Times New Roman" w:hAnsi="Verdana"/>
          <w:sz w:val="20"/>
          <w:szCs w:val="20"/>
        </w:rPr>
        <w:t xml:space="preserve">rekenrente nog verder omlaag, </w:t>
      </w:r>
      <w:r w:rsidR="00C27AE3">
        <w:rPr>
          <w:rFonts w:ascii="Verdana" w:eastAsia="Times New Roman" w:hAnsi="Verdana"/>
          <w:sz w:val="20"/>
          <w:szCs w:val="20"/>
        </w:rPr>
        <w:t>aldus de Com</w:t>
      </w:r>
      <w:r w:rsidRPr="00F26007">
        <w:rPr>
          <w:rFonts w:ascii="Verdana" w:eastAsia="Times New Roman" w:hAnsi="Verdana"/>
          <w:sz w:val="20"/>
          <w:szCs w:val="20"/>
        </w:rPr>
        <w:t>missie Dijsselbloem. Het advies was</w:t>
      </w:r>
      <w:r w:rsidR="00C27AE3">
        <w:rPr>
          <w:rFonts w:ascii="Verdana" w:eastAsia="Times New Roman" w:hAnsi="Verdana"/>
          <w:sz w:val="20"/>
          <w:szCs w:val="20"/>
        </w:rPr>
        <w:t xml:space="preserve"> helaas</w:t>
      </w:r>
      <w:r w:rsidRPr="00F26007">
        <w:rPr>
          <w:rFonts w:ascii="Verdana" w:eastAsia="Times New Roman" w:hAnsi="Verdana"/>
          <w:sz w:val="20"/>
          <w:szCs w:val="20"/>
        </w:rPr>
        <w:t xml:space="preserve"> niet tegen </w:t>
      </w:r>
      <w:r w:rsidR="004623F2">
        <w:rPr>
          <w:rFonts w:ascii="Verdana" w:eastAsia="Times New Roman" w:hAnsi="Verdana"/>
          <w:sz w:val="20"/>
          <w:szCs w:val="20"/>
        </w:rPr>
        <w:t>dovemans</w:t>
      </w:r>
      <w:r w:rsidR="00AF3928" w:rsidRPr="00F26007">
        <w:rPr>
          <w:rFonts w:ascii="Verdana" w:eastAsia="Times New Roman" w:hAnsi="Verdana"/>
          <w:sz w:val="20"/>
          <w:szCs w:val="20"/>
        </w:rPr>
        <w:t>oren</w:t>
      </w:r>
      <w:r w:rsidRPr="00F26007">
        <w:rPr>
          <w:rFonts w:ascii="Verdana" w:eastAsia="Times New Roman" w:hAnsi="Verdana"/>
          <w:sz w:val="20"/>
          <w:szCs w:val="20"/>
        </w:rPr>
        <w:t xml:space="preserve"> gericht</w:t>
      </w:r>
      <w:r w:rsidR="00C27AE3">
        <w:rPr>
          <w:rFonts w:ascii="Verdana" w:eastAsia="Times New Roman" w:hAnsi="Verdana"/>
          <w:sz w:val="20"/>
          <w:szCs w:val="20"/>
        </w:rPr>
        <w:t xml:space="preserve"> en werd direct overgenomen door m</w:t>
      </w:r>
      <w:r w:rsidRPr="00F26007">
        <w:rPr>
          <w:rFonts w:ascii="Verdana" w:eastAsia="Times New Roman" w:hAnsi="Verdana"/>
          <w:sz w:val="20"/>
          <w:szCs w:val="20"/>
        </w:rPr>
        <w:t xml:space="preserve">inister Koolmees en </w:t>
      </w:r>
      <w:r w:rsidR="00C27AE3">
        <w:rPr>
          <w:rFonts w:ascii="Verdana" w:eastAsia="Times New Roman" w:hAnsi="Verdana"/>
          <w:sz w:val="20"/>
          <w:szCs w:val="20"/>
        </w:rPr>
        <w:t xml:space="preserve">toezichthouder </w:t>
      </w:r>
      <w:r w:rsidRPr="00F26007">
        <w:rPr>
          <w:rFonts w:ascii="Verdana" w:eastAsia="Times New Roman" w:hAnsi="Verdana"/>
          <w:sz w:val="20"/>
          <w:szCs w:val="20"/>
        </w:rPr>
        <w:t>D</w:t>
      </w:r>
      <w:r w:rsidR="00C27AE3">
        <w:rPr>
          <w:rFonts w:ascii="Verdana" w:eastAsia="Times New Roman" w:hAnsi="Verdana"/>
          <w:sz w:val="20"/>
          <w:szCs w:val="20"/>
        </w:rPr>
        <w:t>e Nederlandsche Bank (D</w:t>
      </w:r>
      <w:r w:rsidRPr="00F26007">
        <w:rPr>
          <w:rFonts w:ascii="Verdana" w:eastAsia="Times New Roman" w:hAnsi="Verdana"/>
          <w:sz w:val="20"/>
          <w:szCs w:val="20"/>
        </w:rPr>
        <w:t>N</w:t>
      </w:r>
      <w:r w:rsidR="00C27AE3">
        <w:rPr>
          <w:rFonts w:ascii="Verdana" w:eastAsia="Times New Roman" w:hAnsi="Verdana"/>
          <w:sz w:val="20"/>
          <w:szCs w:val="20"/>
        </w:rPr>
        <w:t>B)</w:t>
      </w:r>
      <w:r w:rsidR="0062003B">
        <w:rPr>
          <w:rFonts w:ascii="Verdana" w:eastAsia="Times New Roman" w:hAnsi="Verdana"/>
          <w:sz w:val="20"/>
          <w:szCs w:val="20"/>
        </w:rPr>
        <w:t xml:space="preserve"> en wordt per 2021 ingevoerd</w:t>
      </w:r>
      <w:r w:rsidRPr="00F26007">
        <w:rPr>
          <w:rFonts w:ascii="Verdana" w:eastAsia="Times New Roman" w:hAnsi="Verdana"/>
          <w:sz w:val="20"/>
          <w:szCs w:val="20"/>
        </w:rPr>
        <w:t xml:space="preserve">. </w:t>
      </w:r>
    </w:p>
    <w:p w:rsidR="00F26007" w:rsidRDefault="00F26007" w:rsidP="000C0B47">
      <w:pPr>
        <w:spacing w:line="260" w:lineRule="atLeast"/>
        <w:rPr>
          <w:rFonts w:ascii="Verdana" w:eastAsia="Times New Roman" w:hAnsi="Verdana"/>
          <w:sz w:val="20"/>
          <w:szCs w:val="20"/>
        </w:rPr>
      </w:pPr>
      <w:r w:rsidRPr="00F26007">
        <w:rPr>
          <w:rFonts w:ascii="Verdana" w:eastAsia="Times New Roman" w:hAnsi="Verdana"/>
          <w:sz w:val="20"/>
          <w:szCs w:val="20"/>
        </w:rPr>
        <w:t> </w:t>
      </w:r>
    </w:p>
    <w:p w:rsidR="0062003B" w:rsidRDefault="000C0B47" w:rsidP="000C0B47">
      <w:pPr>
        <w:spacing w:line="260" w:lineRule="atLeast"/>
        <w:rPr>
          <w:rFonts w:ascii="Verdana" w:eastAsia="Times New Roman" w:hAnsi="Verdana"/>
          <w:b/>
          <w:sz w:val="20"/>
          <w:szCs w:val="20"/>
        </w:rPr>
      </w:pPr>
      <w:r>
        <w:rPr>
          <w:rFonts w:ascii="Verdana" w:eastAsia="Times New Roman" w:hAnsi="Verdana"/>
          <w:b/>
          <w:sz w:val="20"/>
          <w:szCs w:val="20"/>
        </w:rPr>
        <w:t xml:space="preserve">Extreem lage rekenrente niet </w:t>
      </w:r>
      <w:r w:rsidR="0062003B">
        <w:rPr>
          <w:rFonts w:ascii="Verdana" w:eastAsia="Times New Roman" w:hAnsi="Verdana"/>
          <w:b/>
          <w:sz w:val="20"/>
          <w:szCs w:val="20"/>
        </w:rPr>
        <w:t>logisch</w:t>
      </w:r>
    </w:p>
    <w:p w:rsidR="00F26007" w:rsidRDefault="00F26007" w:rsidP="000C0B47">
      <w:pPr>
        <w:spacing w:line="260" w:lineRule="atLeast"/>
        <w:rPr>
          <w:rFonts w:ascii="Verdana" w:eastAsia="Times New Roman" w:hAnsi="Verdana"/>
          <w:sz w:val="20"/>
          <w:szCs w:val="20"/>
        </w:rPr>
      </w:pPr>
      <w:r w:rsidRPr="00F26007">
        <w:rPr>
          <w:rFonts w:ascii="Verdana" w:eastAsia="Times New Roman" w:hAnsi="Verdana"/>
          <w:sz w:val="20"/>
          <w:szCs w:val="20"/>
        </w:rPr>
        <w:t xml:space="preserve">De logica daarvan is ver te zoeken. Bij het vaststellen van de premie die u moet betalen als u pensioen opbouwt, wordt ervan uitgegaan dat die premie rendabel wordt belegd. Tot 2007 werd de premie berekend op basis van een verwacht rendement van 4% en daarna daalde dat geleidelijk tot iets meer dan 2,5%. Als u altijd pensioenpremie heeft betaald </w:t>
      </w:r>
      <w:r w:rsidR="00053DCD">
        <w:rPr>
          <w:rFonts w:ascii="Verdana" w:eastAsia="Times New Roman" w:hAnsi="Verdana"/>
          <w:sz w:val="20"/>
          <w:szCs w:val="20"/>
        </w:rPr>
        <w:t xml:space="preserve">met een ingebouwd verwacht rendement </w:t>
      </w:r>
      <w:r w:rsidRPr="00F26007">
        <w:rPr>
          <w:rFonts w:ascii="Verdana" w:eastAsia="Times New Roman" w:hAnsi="Verdana"/>
          <w:sz w:val="20"/>
          <w:szCs w:val="20"/>
        </w:rPr>
        <w:t xml:space="preserve">van 2,5 tot 4% en als het pensioenfonds altijd een gemiddeld rendement heeft </w:t>
      </w:r>
      <w:r w:rsidR="00053DCD">
        <w:rPr>
          <w:rFonts w:ascii="Verdana" w:eastAsia="Times New Roman" w:hAnsi="Verdana"/>
          <w:sz w:val="20"/>
          <w:szCs w:val="20"/>
        </w:rPr>
        <w:t>gerealiseerd</w:t>
      </w:r>
      <w:r w:rsidRPr="00F26007">
        <w:rPr>
          <w:rFonts w:ascii="Verdana" w:eastAsia="Times New Roman" w:hAnsi="Verdana"/>
          <w:sz w:val="20"/>
          <w:szCs w:val="20"/>
        </w:rPr>
        <w:t xml:space="preserve"> van méér dan 4%, dan </w:t>
      </w:r>
      <w:r w:rsidR="00C27AE3">
        <w:rPr>
          <w:rFonts w:ascii="Verdana" w:eastAsia="Times New Roman" w:hAnsi="Verdana"/>
          <w:sz w:val="20"/>
          <w:szCs w:val="20"/>
        </w:rPr>
        <w:t>zou u mogen verwachten dat u krijgt wat u is beloofd.</w:t>
      </w:r>
      <w:r w:rsidRPr="00F26007">
        <w:rPr>
          <w:rFonts w:ascii="Verdana" w:eastAsia="Times New Roman" w:hAnsi="Verdana"/>
          <w:sz w:val="20"/>
          <w:szCs w:val="20"/>
        </w:rPr>
        <w:t xml:space="preserve"> Als voor de berekening van de verplichtingen van pensioenfondsen dezelfde rekenrente zou worden gehanteerd als voor het vaststellen van de premie (2,5% dus), is er ook niets aan de hand. Dan stijgen de reserves van onze pensioenfondsen naar 25 tot 30% en dan krijgt u jaarlijks de prijsstijgingen gecompenseerd. Maar </w:t>
      </w:r>
      <w:r w:rsidR="00AF3928" w:rsidRPr="00F26007">
        <w:rPr>
          <w:rFonts w:ascii="Verdana" w:eastAsia="Times New Roman" w:hAnsi="Verdana"/>
          <w:sz w:val="20"/>
          <w:szCs w:val="20"/>
        </w:rPr>
        <w:t>een dergelijke</w:t>
      </w:r>
      <w:r w:rsidRPr="00F26007">
        <w:rPr>
          <w:rFonts w:ascii="Verdana" w:eastAsia="Times New Roman" w:hAnsi="Verdana"/>
          <w:sz w:val="20"/>
          <w:szCs w:val="20"/>
        </w:rPr>
        <w:t xml:space="preserve"> aanpassing wil onze regering niet, zogenaamd omdat een hoger rekenrendement voor het pensioenvermogen jongeren zou benadelen. Dat is echter alleen maar waar als het werkelijk behaalde rendement lager is dan die 2,5%. En als dat zich werkelijk zou voordoen, kan het rekenrendement ook weer aangepast worden. De regering houdt de deur van de rekenrente echter stevig op slot en de vakbonden hebben het Pensioenakkoord niet benut om die deur te openen.</w:t>
      </w:r>
    </w:p>
    <w:p w:rsidR="00C27AE3" w:rsidRDefault="00C27AE3" w:rsidP="000C0B47">
      <w:pPr>
        <w:spacing w:line="260" w:lineRule="atLeast"/>
        <w:rPr>
          <w:rFonts w:ascii="Verdana" w:eastAsia="Times New Roman" w:hAnsi="Verdana"/>
          <w:sz w:val="20"/>
          <w:szCs w:val="20"/>
        </w:rPr>
      </w:pPr>
    </w:p>
    <w:p w:rsidR="0062003B" w:rsidRDefault="000C0B47" w:rsidP="000C0B47">
      <w:pPr>
        <w:spacing w:line="260" w:lineRule="atLeast"/>
        <w:rPr>
          <w:rFonts w:ascii="Verdana" w:eastAsia="Times New Roman" w:hAnsi="Verdana"/>
          <w:b/>
          <w:sz w:val="20"/>
          <w:szCs w:val="20"/>
        </w:rPr>
      </w:pPr>
      <w:r>
        <w:rPr>
          <w:rFonts w:ascii="Verdana" w:eastAsia="Times New Roman" w:hAnsi="Verdana"/>
          <w:b/>
          <w:sz w:val="20"/>
          <w:szCs w:val="20"/>
        </w:rPr>
        <w:t>Meten met twee maten</w:t>
      </w:r>
    </w:p>
    <w:p w:rsidR="00C27AE3" w:rsidRDefault="005F20B9" w:rsidP="000C0B47">
      <w:pPr>
        <w:spacing w:line="260" w:lineRule="atLeast"/>
        <w:rPr>
          <w:rFonts w:ascii="Verdana" w:eastAsia="Times New Roman" w:hAnsi="Verdana"/>
          <w:sz w:val="20"/>
          <w:szCs w:val="20"/>
        </w:rPr>
      </w:pPr>
      <w:r>
        <w:rPr>
          <w:rFonts w:ascii="Verdana" w:eastAsia="Times New Roman" w:hAnsi="Verdana"/>
          <w:sz w:val="20"/>
          <w:szCs w:val="20"/>
        </w:rPr>
        <w:t>De Nederlandse pensioenwetgeving is</w:t>
      </w:r>
      <w:r w:rsidR="00C27AE3">
        <w:rPr>
          <w:rFonts w:ascii="Verdana" w:eastAsia="Times New Roman" w:hAnsi="Verdana"/>
          <w:sz w:val="20"/>
          <w:szCs w:val="20"/>
        </w:rPr>
        <w:t xml:space="preserve"> niet alleen onlogisch, maar ook onevenwichtig. In tegenstelling tot onze pensioenfondsen die onder </w:t>
      </w:r>
      <w:r>
        <w:rPr>
          <w:rFonts w:ascii="Verdana" w:eastAsia="Times New Roman" w:hAnsi="Verdana"/>
          <w:sz w:val="20"/>
          <w:szCs w:val="20"/>
        </w:rPr>
        <w:t>nationaal</w:t>
      </w:r>
      <w:r w:rsidR="00C27AE3">
        <w:rPr>
          <w:rFonts w:ascii="Verdana" w:eastAsia="Times New Roman" w:hAnsi="Verdana"/>
          <w:sz w:val="20"/>
          <w:szCs w:val="20"/>
        </w:rPr>
        <w:t xml:space="preserve"> toezicht staan</w:t>
      </w:r>
      <w:r>
        <w:rPr>
          <w:rFonts w:ascii="Verdana" w:eastAsia="Times New Roman" w:hAnsi="Verdana"/>
          <w:sz w:val="20"/>
          <w:szCs w:val="20"/>
        </w:rPr>
        <w:t xml:space="preserve"> en hun verplichtingen moeten berekenen met de </w:t>
      </w:r>
      <w:r w:rsidR="000D2224">
        <w:rPr>
          <w:rFonts w:ascii="Verdana" w:eastAsia="Times New Roman" w:hAnsi="Verdana"/>
          <w:sz w:val="20"/>
          <w:szCs w:val="20"/>
        </w:rPr>
        <w:t xml:space="preserve">extreem lage </w:t>
      </w:r>
      <w:r>
        <w:rPr>
          <w:rFonts w:ascii="Verdana" w:eastAsia="Times New Roman" w:hAnsi="Verdana"/>
          <w:sz w:val="20"/>
          <w:szCs w:val="20"/>
        </w:rPr>
        <w:t>rekenrente</w:t>
      </w:r>
      <w:r w:rsidR="004623F2">
        <w:rPr>
          <w:rFonts w:ascii="Verdana" w:eastAsia="Times New Roman" w:hAnsi="Verdana"/>
          <w:sz w:val="20"/>
          <w:szCs w:val="20"/>
        </w:rPr>
        <w:t xml:space="preserve"> van DNB</w:t>
      </w:r>
      <w:r w:rsidR="00C27AE3">
        <w:rPr>
          <w:rFonts w:ascii="Verdana" w:eastAsia="Times New Roman" w:hAnsi="Verdana"/>
          <w:sz w:val="20"/>
          <w:szCs w:val="20"/>
        </w:rPr>
        <w:t xml:space="preserve">, mogen verzekeraars </w:t>
      </w:r>
      <w:r>
        <w:rPr>
          <w:rFonts w:ascii="Verdana" w:eastAsia="Times New Roman" w:hAnsi="Verdana"/>
          <w:sz w:val="20"/>
          <w:szCs w:val="20"/>
        </w:rPr>
        <w:t xml:space="preserve">in ons land </w:t>
      </w:r>
      <w:r w:rsidR="004623F2">
        <w:rPr>
          <w:rFonts w:ascii="Verdana" w:eastAsia="Times New Roman" w:hAnsi="Verdana"/>
          <w:sz w:val="20"/>
          <w:szCs w:val="20"/>
        </w:rPr>
        <w:t xml:space="preserve">hun verplichtingen </w:t>
      </w:r>
      <w:r>
        <w:rPr>
          <w:rFonts w:ascii="Verdana" w:eastAsia="Times New Roman" w:hAnsi="Verdana"/>
          <w:sz w:val="20"/>
          <w:szCs w:val="20"/>
        </w:rPr>
        <w:t xml:space="preserve">wel </w:t>
      </w:r>
      <w:r w:rsidR="004623F2">
        <w:rPr>
          <w:rFonts w:ascii="Verdana" w:eastAsia="Times New Roman" w:hAnsi="Verdana"/>
          <w:sz w:val="20"/>
          <w:szCs w:val="20"/>
        </w:rPr>
        <w:t>be</w:t>
      </w:r>
      <w:r w:rsidR="00C27AE3">
        <w:rPr>
          <w:rFonts w:ascii="Verdana" w:eastAsia="Times New Roman" w:hAnsi="Verdana"/>
          <w:sz w:val="20"/>
          <w:szCs w:val="20"/>
        </w:rPr>
        <w:t>rekenen met de</w:t>
      </w:r>
      <w:r w:rsidR="004623F2">
        <w:rPr>
          <w:rFonts w:ascii="Verdana" w:eastAsia="Times New Roman" w:hAnsi="Verdana"/>
          <w:sz w:val="20"/>
          <w:szCs w:val="20"/>
        </w:rPr>
        <w:t xml:space="preserve"> veel</w:t>
      </w:r>
      <w:r w:rsidR="00C27AE3">
        <w:rPr>
          <w:rFonts w:ascii="Verdana" w:eastAsia="Times New Roman" w:hAnsi="Verdana"/>
          <w:sz w:val="20"/>
          <w:szCs w:val="20"/>
        </w:rPr>
        <w:t xml:space="preserve"> hogere Europese rekenrente</w:t>
      </w:r>
      <w:r>
        <w:rPr>
          <w:rFonts w:ascii="Verdana" w:eastAsia="Times New Roman" w:hAnsi="Verdana"/>
          <w:sz w:val="20"/>
          <w:szCs w:val="20"/>
        </w:rPr>
        <w:t xml:space="preserve"> </w:t>
      </w:r>
      <w:r w:rsidR="004623F2">
        <w:rPr>
          <w:rFonts w:ascii="Verdana" w:eastAsia="Times New Roman" w:hAnsi="Verdana"/>
          <w:sz w:val="20"/>
          <w:szCs w:val="20"/>
        </w:rPr>
        <w:t xml:space="preserve">van </w:t>
      </w:r>
      <w:r>
        <w:rPr>
          <w:rFonts w:ascii="Verdana" w:eastAsia="Times New Roman" w:hAnsi="Verdana"/>
          <w:sz w:val="20"/>
          <w:szCs w:val="20"/>
        </w:rPr>
        <w:t>EIOPA</w:t>
      </w:r>
      <w:r w:rsidR="00C27AE3">
        <w:rPr>
          <w:rFonts w:ascii="Verdana" w:eastAsia="Times New Roman" w:hAnsi="Verdana"/>
          <w:sz w:val="20"/>
          <w:szCs w:val="20"/>
        </w:rPr>
        <w:t>. Hie</w:t>
      </w:r>
      <w:r w:rsidR="00546419">
        <w:rPr>
          <w:rFonts w:ascii="Verdana" w:eastAsia="Times New Roman" w:hAnsi="Verdana"/>
          <w:sz w:val="20"/>
          <w:szCs w:val="20"/>
        </w:rPr>
        <w:t>rdoor behalen verzekeraars een fors</w:t>
      </w:r>
      <w:r w:rsidR="00C27AE3">
        <w:rPr>
          <w:rFonts w:ascii="Verdana" w:eastAsia="Times New Roman" w:hAnsi="Verdana"/>
          <w:sz w:val="20"/>
          <w:szCs w:val="20"/>
        </w:rPr>
        <w:t xml:space="preserve"> concurrentievoordeel bij het aanbieden van pensioenvoorzieningen.</w:t>
      </w:r>
    </w:p>
    <w:p w:rsidR="00C27AE3" w:rsidRDefault="00C27AE3" w:rsidP="000C0B47">
      <w:pPr>
        <w:spacing w:line="260" w:lineRule="atLeast"/>
        <w:rPr>
          <w:rFonts w:ascii="Verdana" w:eastAsia="Times New Roman" w:hAnsi="Verdana"/>
          <w:sz w:val="20"/>
          <w:szCs w:val="20"/>
        </w:rPr>
      </w:pPr>
    </w:p>
    <w:p w:rsidR="0062003B" w:rsidRDefault="000C0B47" w:rsidP="000C0B47">
      <w:pPr>
        <w:spacing w:line="260" w:lineRule="atLeast"/>
        <w:rPr>
          <w:rFonts w:ascii="Verdana" w:eastAsia="Times New Roman" w:hAnsi="Verdana"/>
          <w:b/>
          <w:sz w:val="20"/>
          <w:szCs w:val="20"/>
        </w:rPr>
      </w:pPr>
      <w:r>
        <w:rPr>
          <w:rFonts w:ascii="Verdana" w:eastAsia="Times New Roman" w:hAnsi="Verdana"/>
          <w:b/>
          <w:sz w:val="20"/>
          <w:szCs w:val="20"/>
        </w:rPr>
        <w:t>Nederlandse pensioenwetgeving in strijd met Europese richtlijn</w:t>
      </w:r>
    </w:p>
    <w:p w:rsidR="00F26007" w:rsidRDefault="00C27AE3" w:rsidP="000C0B47">
      <w:pPr>
        <w:spacing w:line="260" w:lineRule="atLeast"/>
        <w:rPr>
          <w:rFonts w:ascii="Verdana" w:eastAsia="Times New Roman" w:hAnsi="Verdana"/>
          <w:sz w:val="20"/>
          <w:szCs w:val="20"/>
        </w:rPr>
      </w:pPr>
      <w:r>
        <w:rPr>
          <w:rFonts w:ascii="Verdana" w:eastAsia="Times New Roman" w:hAnsi="Verdana"/>
          <w:sz w:val="20"/>
          <w:szCs w:val="20"/>
        </w:rPr>
        <w:t xml:space="preserve">En tenslotte </w:t>
      </w:r>
      <w:r w:rsidR="0062003B">
        <w:rPr>
          <w:rFonts w:ascii="Verdana" w:eastAsia="Times New Roman" w:hAnsi="Verdana"/>
          <w:sz w:val="20"/>
          <w:szCs w:val="20"/>
        </w:rPr>
        <w:t>beschouwen eisers</w:t>
      </w:r>
      <w:r>
        <w:rPr>
          <w:rFonts w:ascii="Verdana" w:eastAsia="Times New Roman" w:hAnsi="Verdana"/>
          <w:sz w:val="20"/>
          <w:szCs w:val="20"/>
        </w:rPr>
        <w:t xml:space="preserve"> </w:t>
      </w:r>
      <w:r w:rsidR="00053DCD">
        <w:rPr>
          <w:rFonts w:ascii="Verdana" w:eastAsia="Times New Roman" w:hAnsi="Verdana"/>
          <w:sz w:val="20"/>
          <w:szCs w:val="20"/>
        </w:rPr>
        <w:t>de keuze</w:t>
      </w:r>
      <w:r>
        <w:rPr>
          <w:rFonts w:ascii="Verdana" w:eastAsia="Times New Roman" w:hAnsi="Verdana"/>
          <w:sz w:val="20"/>
          <w:szCs w:val="20"/>
        </w:rPr>
        <w:t xml:space="preserve"> van </w:t>
      </w:r>
      <w:r w:rsidR="00CB7BCB">
        <w:rPr>
          <w:rFonts w:ascii="Verdana" w:eastAsia="Times New Roman" w:hAnsi="Verdana"/>
          <w:sz w:val="20"/>
          <w:szCs w:val="20"/>
        </w:rPr>
        <w:t>onze regering</w:t>
      </w:r>
      <w:r>
        <w:rPr>
          <w:rFonts w:ascii="Verdana" w:eastAsia="Times New Roman" w:hAnsi="Verdana"/>
          <w:sz w:val="20"/>
          <w:szCs w:val="20"/>
        </w:rPr>
        <w:t xml:space="preserve"> om van pensioenfondsen te eisen dat zij </w:t>
      </w:r>
      <w:r w:rsidR="005F20B9">
        <w:rPr>
          <w:rFonts w:ascii="Verdana" w:eastAsia="Times New Roman" w:hAnsi="Verdana"/>
          <w:sz w:val="20"/>
          <w:szCs w:val="20"/>
        </w:rPr>
        <w:t xml:space="preserve">met de </w:t>
      </w:r>
      <w:r w:rsidR="004623F2">
        <w:rPr>
          <w:rFonts w:ascii="Verdana" w:eastAsia="Times New Roman" w:hAnsi="Verdana"/>
          <w:sz w:val="20"/>
          <w:szCs w:val="20"/>
        </w:rPr>
        <w:t>extreem lage reken</w:t>
      </w:r>
      <w:r w:rsidR="005F20B9">
        <w:rPr>
          <w:rFonts w:ascii="Verdana" w:eastAsia="Times New Roman" w:hAnsi="Verdana"/>
          <w:sz w:val="20"/>
          <w:szCs w:val="20"/>
        </w:rPr>
        <w:t xml:space="preserve">rente </w:t>
      </w:r>
      <w:r>
        <w:rPr>
          <w:rFonts w:ascii="Verdana" w:eastAsia="Times New Roman" w:hAnsi="Verdana"/>
          <w:sz w:val="20"/>
          <w:szCs w:val="20"/>
        </w:rPr>
        <w:t xml:space="preserve">hun verplichtingen </w:t>
      </w:r>
      <w:r w:rsidR="005F20B9">
        <w:rPr>
          <w:rFonts w:ascii="Verdana" w:eastAsia="Times New Roman" w:hAnsi="Verdana"/>
          <w:sz w:val="20"/>
          <w:szCs w:val="20"/>
        </w:rPr>
        <w:t xml:space="preserve">berekenen </w:t>
      </w:r>
      <w:r>
        <w:rPr>
          <w:rFonts w:ascii="Verdana" w:eastAsia="Times New Roman" w:hAnsi="Verdana"/>
          <w:sz w:val="20"/>
          <w:szCs w:val="20"/>
        </w:rPr>
        <w:t xml:space="preserve">voor de komende zestig jaar (!) </w:t>
      </w:r>
      <w:r w:rsidR="00CB7BCB">
        <w:rPr>
          <w:rFonts w:ascii="Verdana" w:eastAsia="Times New Roman" w:hAnsi="Verdana"/>
          <w:sz w:val="20"/>
          <w:szCs w:val="20"/>
        </w:rPr>
        <w:t>onwettig</w:t>
      </w:r>
      <w:r w:rsidR="00053DCD">
        <w:rPr>
          <w:rFonts w:ascii="Verdana" w:eastAsia="Times New Roman" w:hAnsi="Verdana"/>
          <w:sz w:val="20"/>
          <w:szCs w:val="20"/>
        </w:rPr>
        <w:t>. Nederlandse pensioenfondsen moeten voldoen aan Europese regels voor bestuur, governance, communicatie en beleggingsbeleid, vastgelegd in de IORP II-richtlijn. De Nederlands</w:t>
      </w:r>
      <w:r w:rsidR="0062003B">
        <w:rPr>
          <w:rFonts w:ascii="Verdana" w:eastAsia="Times New Roman" w:hAnsi="Verdana"/>
          <w:sz w:val="20"/>
          <w:szCs w:val="20"/>
        </w:rPr>
        <w:t>e pensioenwetgeving is volgens Stichting PensioenBehoud, KBO-Brabant</w:t>
      </w:r>
      <w:r w:rsidR="00E23E9D">
        <w:rPr>
          <w:rFonts w:ascii="Verdana" w:eastAsia="Times New Roman" w:hAnsi="Verdana"/>
          <w:sz w:val="20"/>
          <w:szCs w:val="20"/>
        </w:rPr>
        <w:t xml:space="preserve"> </w:t>
      </w:r>
      <w:bookmarkStart w:id="0" w:name="_GoBack"/>
      <w:bookmarkEnd w:id="0"/>
      <w:r w:rsidR="0062003B">
        <w:rPr>
          <w:rFonts w:ascii="Verdana" w:eastAsia="Times New Roman" w:hAnsi="Verdana"/>
          <w:sz w:val="20"/>
          <w:szCs w:val="20"/>
        </w:rPr>
        <w:t xml:space="preserve">en </w:t>
      </w:r>
      <w:r w:rsidR="00E23E9D">
        <w:rPr>
          <w:rFonts w:ascii="Verdana" w:eastAsia="Times New Roman" w:hAnsi="Verdana"/>
          <w:sz w:val="20"/>
          <w:szCs w:val="20"/>
        </w:rPr>
        <w:t>de derde partij</w:t>
      </w:r>
      <w:r w:rsidR="00053DCD">
        <w:rPr>
          <w:rFonts w:ascii="Verdana" w:eastAsia="Times New Roman" w:hAnsi="Verdana"/>
          <w:sz w:val="20"/>
          <w:szCs w:val="20"/>
        </w:rPr>
        <w:t xml:space="preserve"> in strijd met de</w:t>
      </w:r>
      <w:r w:rsidR="0062003B">
        <w:rPr>
          <w:rFonts w:ascii="Verdana" w:eastAsia="Times New Roman" w:hAnsi="Verdana"/>
          <w:sz w:val="20"/>
          <w:szCs w:val="20"/>
        </w:rPr>
        <w:t>ze</w:t>
      </w:r>
      <w:r w:rsidR="00053DCD">
        <w:rPr>
          <w:rFonts w:ascii="Verdana" w:eastAsia="Times New Roman" w:hAnsi="Verdana"/>
          <w:sz w:val="20"/>
          <w:szCs w:val="20"/>
        </w:rPr>
        <w:t xml:space="preserve"> Europese</w:t>
      </w:r>
      <w:r w:rsidR="00CB7BCB">
        <w:rPr>
          <w:rFonts w:ascii="Verdana" w:eastAsia="Times New Roman" w:hAnsi="Verdana"/>
          <w:sz w:val="20"/>
          <w:szCs w:val="20"/>
        </w:rPr>
        <w:t xml:space="preserve"> richtlijn. Daarop zal de bodemprocedure tegen de Nederlandse Staat zich richten.</w:t>
      </w:r>
    </w:p>
    <w:p w:rsidR="00CB7BCB" w:rsidRDefault="00CB7BCB" w:rsidP="000C0B47">
      <w:pPr>
        <w:spacing w:line="260" w:lineRule="atLeast"/>
        <w:rPr>
          <w:rFonts w:ascii="Verdana" w:eastAsia="Times New Roman" w:hAnsi="Verdana"/>
          <w:sz w:val="20"/>
          <w:szCs w:val="20"/>
        </w:rPr>
      </w:pPr>
    </w:p>
    <w:p w:rsidR="00CB7BCB" w:rsidRDefault="00CB7BCB" w:rsidP="000C0B47">
      <w:pPr>
        <w:spacing w:line="260" w:lineRule="atLeast"/>
        <w:rPr>
          <w:rFonts w:ascii="Verdana" w:eastAsia="Times New Roman" w:hAnsi="Verdana"/>
          <w:sz w:val="20"/>
          <w:szCs w:val="20"/>
        </w:rPr>
      </w:pPr>
      <w:r>
        <w:rPr>
          <w:rFonts w:ascii="Verdana" w:eastAsia="Times New Roman" w:hAnsi="Verdana"/>
          <w:sz w:val="20"/>
          <w:szCs w:val="20"/>
        </w:rPr>
        <w:t>---------------------------------------------------------------------------------------------------</w:t>
      </w:r>
    </w:p>
    <w:p w:rsidR="00CB7BCB" w:rsidRDefault="00CB7BCB" w:rsidP="000C0B47">
      <w:pPr>
        <w:spacing w:line="260" w:lineRule="atLeast"/>
        <w:rPr>
          <w:rFonts w:ascii="Verdana" w:eastAsia="Times New Roman" w:hAnsi="Verdana"/>
          <w:sz w:val="20"/>
          <w:szCs w:val="20"/>
        </w:rPr>
      </w:pPr>
    </w:p>
    <w:p w:rsidR="00CB7BCB" w:rsidRDefault="00CB7BCB" w:rsidP="000C0B47">
      <w:pPr>
        <w:spacing w:line="260" w:lineRule="atLeast"/>
        <w:rPr>
          <w:rFonts w:ascii="Verdana" w:eastAsia="Times New Roman" w:hAnsi="Verdana"/>
          <w:sz w:val="20"/>
          <w:szCs w:val="20"/>
        </w:rPr>
      </w:pPr>
      <w:r>
        <w:rPr>
          <w:rFonts w:ascii="Verdana" w:eastAsia="Times New Roman" w:hAnsi="Verdana"/>
          <w:sz w:val="20"/>
          <w:szCs w:val="20"/>
        </w:rPr>
        <w:t xml:space="preserve">Voor nadere informatie kunt u contact opnemen met mr. Erik Daae, voorzitter Stichting Pensioenbehoud, telefoon 06 53 16 16 56, e-mail </w:t>
      </w:r>
      <w:hyperlink r:id="rId10" w:history="1">
        <w:r w:rsidRPr="00625838">
          <w:rPr>
            <w:rStyle w:val="Hyperlink"/>
            <w:rFonts w:ascii="Verdana" w:eastAsia="Times New Roman" w:hAnsi="Verdana"/>
            <w:sz w:val="20"/>
            <w:szCs w:val="20"/>
          </w:rPr>
          <w:t>voorzitter@stichtingpensioenbehoud.nl</w:t>
        </w:r>
      </w:hyperlink>
    </w:p>
    <w:p w:rsidR="00CB7BCB" w:rsidRDefault="00CB7BCB" w:rsidP="000C0B47">
      <w:pPr>
        <w:spacing w:line="260" w:lineRule="atLeast"/>
        <w:rPr>
          <w:rFonts w:ascii="Verdana" w:eastAsia="Times New Roman" w:hAnsi="Verdana"/>
          <w:sz w:val="20"/>
          <w:szCs w:val="20"/>
        </w:rPr>
      </w:pPr>
      <w:r>
        <w:rPr>
          <w:rFonts w:ascii="Verdana" w:eastAsia="Times New Roman" w:hAnsi="Verdana"/>
          <w:sz w:val="20"/>
          <w:szCs w:val="20"/>
        </w:rPr>
        <w:t xml:space="preserve"> </w:t>
      </w:r>
    </w:p>
    <w:sectPr w:rsidR="00CB7BCB" w:rsidSect="000C0B47">
      <w:headerReference w:type="default"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CB" w:rsidRDefault="00CB7BCB" w:rsidP="00CB7BCB">
      <w:r>
        <w:separator/>
      </w:r>
    </w:p>
  </w:endnote>
  <w:endnote w:type="continuationSeparator" w:id="0">
    <w:p w:rsidR="00CB7BCB" w:rsidRDefault="00CB7BCB" w:rsidP="00CB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112192"/>
      <w:docPartObj>
        <w:docPartGallery w:val="Page Numbers (Bottom of Page)"/>
        <w:docPartUnique/>
      </w:docPartObj>
    </w:sdtPr>
    <w:sdtEndPr>
      <w:rPr>
        <w:rFonts w:ascii="Verdana" w:hAnsi="Verdana"/>
        <w:sz w:val="20"/>
        <w:szCs w:val="20"/>
      </w:rPr>
    </w:sdtEndPr>
    <w:sdtContent>
      <w:p w:rsidR="00CB7BCB" w:rsidRPr="00CB7BCB" w:rsidRDefault="00CB7BCB">
        <w:pPr>
          <w:pStyle w:val="Voettekst"/>
          <w:jc w:val="right"/>
          <w:rPr>
            <w:rFonts w:ascii="Verdana" w:hAnsi="Verdana"/>
            <w:sz w:val="20"/>
            <w:szCs w:val="20"/>
          </w:rPr>
        </w:pPr>
        <w:r w:rsidRPr="00CB7BCB">
          <w:rPr>
            <w:rFonts w:ascii="Verdana" w:hAnsi="Verdana"/>
            <w:sz w:val="20"/>
            <w:szCs w:val="20"/>
          </w:rPr>
          <w:fldChar w:fldCharType="begin"/>
        </w:r>
        <w:r w:rsidRPr="00CB7BCB">
          <w:rPr>
            <w:rFonts w:ascii="Verdana" w:hAnsi="Verdana"/>
            <w:sz w:val="20"/>
            <w:szCs w:val="20"/>
          </w:rPr>
          <w:instrText>PAGE   \* MERGEFORMAT</w:instrText>
        </w:r>
        <w:r w:rsidRPr="00CB7BCB">
          <w:rPr>
            <w:rFonts w:ascii="Verdana" w:hAnsi="Verdana"/>
            <w:sz w:val="20"/>
            <w:szCs w:val="20"/>
          </w:rPr>
          <w:fldChar w:fldCharType="separate"/>
        </w:r>
        <w:r w:rsidR="00223236">
          <w:rPr>
            <w:rFonts w:ascii="Verdana" w:hAnsi="Verdana"/>
            <w:noProof/>
            <w:sz w:val="20"/>
            <w:szCs w:val="20"/>
          </w:rPr>
          <w:t>2</w:t>
        </w:r>
        <w:r w:rsidRPr="00CB7BCB">
          <w:rPr>
            <w:rFonts w:ascii="Verdana" w:hAnsi="Verdan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CB" w:rsidRDefault="00CB7BCB" w:rsidP="00CB7BCB">
      <w:r>
        <w:separator/>
      </w:r>
    </w:p>
  </w:footnote>
  <w:footnote w:type="continuationSeparator" w:id="0">
    <w:p w:rsidR="00CB7BCB" w:rsidRDefault="00CB7BCB" w:rsidP="00CB7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CB" w:rsidRPr="000C0B47" w:rsidRDefault="00CB7BCB" w:rsidP="00CB7BCB">
    <w:pPr>
      <w:spacing w:line="280" w:lineRule="atLeast"/>
      <w:rPr>
        <w:rFonts w:ascii="Verdana" w:eastAsia="Times New Roman" w:hAnsi="Verdana"/>
        <w:i/>
        <w:sz w:val="28"/>
        <w:szCs w:val="28"/>
      </w:rPr>
    </w:pPr>
    <w:r w:rsidRPr="000C0B47">
      <w:rPr>
        <w:rFonts w:ascii="Verdana" w:eastAsia="Times New Roman" w:hAnsi="Verdana"/>
        <w:b/>
        <w:bCs/>
        <w:i/>
        <w:sz w:val="28"/>
        <w:szCs w:val="28"/>
      </w:rPr>
      <w:t>Persbericht 19 juli 2019</w:t>
    </w:r>
  </w:p>
  <w:p w:rsidR="00CB7BCB" w:rsidRDefault="00CB7BC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07"/>
    <w:rsid w:val="00053DCD"/>
    <w:rsid w:val="000C0B47"/>
    <w:rsid w:val="000D2224"/>
    <w:rsid w:val="00223236"/>
    <w:rsid w:val="00306E92"/>
    <w:rsid w:val="004623F2"/>
    <w:rsid w:val="004C244C"/>
    <w:rsid w:val="00546419"/>
    <w:rsid w:val="005F20B9"/>
    <w:rsid w:val="0062003B"/>
    <w:rsid w:val="006B0C0E"/>
    <w:rsid w:val="008F3BDE"/>
    <w:rsid w:val="00AF3928"/>
    <w:rsid w:val="00C27AE3"/>
    <w:rsid w:val="00CB7BCB"/>
    <w:rsid w:val="00E23E9D"/>
    <w:rsid w:val="00F260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6007"/>
    <w:pPr>
      <w:spacing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BCB"/>
    <w:rPr>
      <w:color w:val="0000FF" w:themeColor="hyperlink"/>
      <w:u w:val="single"/>
    </w:rPr>
  </w:style>
  <w:style w:type="paragraph" w:styleId="Koptekst">
    <w:name w:val="header"/>
    <w:basedOn w:val="Standaard"/>
    <w:link w:val="KoptekstChar"/>
    <w:uiPriority w:val="99"/>
    <w:unhideWhenUsed/>
    <w:rsid w:val="00CB7BCB"/>
    <w:pPr>
      <w:tabs>
        <w:tab w:val="center" w:pos="4536"/>
        <w:tab w:val="right" w:pos="9072"/>
      </w:tabs>
    </w:pPr>
  </w:style>
  <w:style w:type="character" w:customStyle="1" w:styleId="KoptekstChar">
    <w:name w:val="Koptekst Char"/>
    <w:basedOn w:val="Standaardalinea-lettertype"/>
    <w:link w:val="Koptekst"/>
    <w:uiPriority w:val="99"/>
    <w:rsid w:val="00CB7BCB"/>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CB7BCB"/>
    <w:pPr>
      <w:tabs>
        <w:tab w:val="center" w:pos="4536"/>
        <w:tab w:val="right" w:pos="9072"/>
      </w:tabs>
    </w:pPr>
  </w:style>
  <w:style w:type="character" w:customStyle="1" w:styleId="VoettekstChar">
    <w:name w:val="Voettekst Char"/>
    <w:basedOn w:val="Standaardalinea-lettertype"/>
    <w:link w:val="Voettekst"/>
    <w:uiPriority w:val="99"/>
    <w:rsid w:val="00CB7BCB"/>
    <w:rPr>
      <w:rFonts w:ascii="Times New Roman" w:hAnsi="Times New Roman" w:cs="Times New Roman"/>
      <w:sz w:val="24"/>
      <w:szCs w:val="24"/>
      <w:lang w:eastAsia="nl-NL"/>
    </w:rPr>
  </w:style>
  <w:style w:type="table" w:styleId="Tabelraster">
    <w:name w:val="Table Grid"/>
    <w:basedOn w:val="Standaardtabel"/>
    <w:uiPriority w:val="59"/>
    <w:rsid w:val="00CB7B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B7BCB"/>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BCB"/>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6007"/>
    <w:pPr>
      <w:spacing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BCB"/>
    <w:rPr>
      <w:color w:val="0000FF" w:themeColor="hyperlink"/>
      <w:u w:val="single"/>
    </w:rPr>
  </w:style>
  <w:style w:type="paragraph" w:styleId="Koptekst">
    <w:name w:val="header"/>
    <w:basedOn w:val="Standaard"/>
    <w:link w:val="KoptekstChar"/>
    <w:uiPriority w:val="99"/>
    <w:unhideWhenUsed/>
    <w:rsid w:val="00CB7BCB"/>
    <w:pPr>
      <w:tabs>
        <w:tab w:val="center" w:pos="4536"/>
        <w:tab w:val="right" w:pos="9072"/>
      </w:tabs>
    </w:pPr>
  </w:style>
  <w:style w:type="character" w:customStyle="1" w:styleId="KoptekstChar">
    <w:name w:val="Koptekst Char"/>
    <w:basedOn w:val="Standaardalinea-lettertype"/>
    <w:link w:val="Koptekst"/>
    <w:uiPriority w:val="99"/>
    <w:rsid w:val="00CB7BCB"/>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CB7BCB"/>
    <w:pPr>
      <w:tabs>
        <w:tab w:val="center" w:pos="4536"/>
        <w:tab w:val="right" w:pos="9072"/>
      </w:tabs>
    </w:pPr>
  </w:style>
  <w:style w:type="character" w:customStyle="1" w:styleId="VoettekstChar">
    <w:name w:val="Voettekst Char"/>
    <w:basedOn w:val="Standaardalinea-lettertype"/>
    <w:link w:val="Voettekst"/>
    <w:uiPriority w:val="99"/>
    <w:rsid w:val="00CB7BCB"/>
    <w:rPr>
      <w:rFonts w:ascii="Times New Roman" w:hAnsi="Times New Roman" w:cs="Times New Roman"/>
      <w:sz w:val="24"/>
      <w:szCs w:val="24"/>
      <w:lang w:eastAsia="nl-NL"/>
    </w:rPr>
  </w:style>
  <w:style w:type="table" w:styleId="Tabelraster">
    <w:name w:val="Table Grid"/>
    <w:basedOn w:val="Standaardtabel"/>
    <w:uiPriority w:val="59"/>
    <w:rsid w:val="00CB7B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B7BCB"/>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BCB"/>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326">
      <w:bodyDiv w:val="1"/>
      <w:marLeft w:val="0"/>
      <w:marRight w:val="0"/>
      <w:marTop w:val="0"/>
      <w:marBottom w:val="0"/>
      <w:divBdr>
        <w:top w:val="none" w:sz="0" w:space="0" w:color="auto"/>
        <w:left w:val="none" w:sz="0" w:space="0" w:color="auto"/>
        <w:bottom w:val="none" w:sz="0" w:space="0" w:color="auto"/>
        <w:right w:val="none" w:sz="0" w:space="0" w:color="auto"/>
      </w:divBdr>
    </w:div>
    <w:div w:id="10274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oorzitter@stichtingpensioenbehoud.n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7D6E-A75E-4F9E-BC14-23E17944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1001</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Schrover</dc:creator>
  <cp:lastModifiedBy>Wilma Schrover</cp:lastModifiedBy>
  <cp:revision>3</cp:revision>
  <dcterms:created xsi:type="dcterms:W3CDTF">2019-07-19T11:54:00Z</dcterms:created>
  <dcterms:modified xsi:type="dcterms:W3CDTF">2019-07-19T11:55:00Z</dcterms:modified>
</cp:coreProperties>
</file>